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EC8" w:rsidRPr="00F55EC8" w:rsidRDefault="00F55EC8" w:rsidP="00F55EC8">
      <w:pPr>
        <w:ind w:firstLine="0"/>
        <w:jc w:val="center"/>
      </w:pPr>
      <w:r w:rsidRPr="00F55EC8">
        <w:t>ПОЯСНИТЕЛЬНАЯ ЗАПИСКА</w:t>
      </w:r>
    </w:p>
    <w:p w:rsidR="00F55EC8" w:rsidRPr="00F55EC8" w:rsidRDefault="00F55EC8" w:rsidP="00F55EC8">
      <w:pPr>
        <w:autoSpaceDE w:val="0"/>
        <w:autoSpaceDN w:val="0"/>
        <w:adjustRightInd w:val="0"/>
        <w:ind w:right="-1" w:firstLine="0"/>
      </w:pPr>
      <w:proofErr w:type="gramStart"/>
      <w:r w:rsidRPr="00F55EC8">
        <w:t>к</w:t>
      </w:r>
      <w:proofErr w:type="gramEnd"/>
      <w:r w:rsidRPr="00F55EC8">
        <w:t xml:space="preserve"> проекту решения городской Думы «О внесении изменений в решение городской Думы от 30.10.2020 №601 «Об утверждении Порядка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Барнаула»</w:t>
      </w:r>
    </w:p>
    <w:p w:rsidR="00F55EC8" w:rsidRPr="00F55EC8" w:rsidRDefault="00F55EC8" w:rsidP="00F55EC8">
      <w:pPr>
        <w:autoSpaceDE w:val="0"/>
        <w:autoSpaceDN w:val="0"/>
        <w:adjustRightInd w:val="0"/>
        <w:ind w:right="-1" w:firstLine="0"/>
      </w:pPr>
    </w:p>
    <w:p w:rsidR="00F55EC8" w:rsidRPr="00F55EC8" w:rsidRDefault="00F55EC8" w:rsidP="00F55EC8">
      <w:pPr>
        <w:pStyle w:val="ConsPlusNormal"/>
        <w:ind w:right="-2" w:firstLine="709"/>
        <w:jc w:val="both"/>
      </w:pPr>
      <w:r w:rsidRPr="00F55EC8">
        <w:t>Настоящий проект решения городской Думы подготовлен в соответствии с постановлением Правительства Российской Федерации от 13.10.2020 №1681 «О целевом обучении по образовательным программам среднего профессионального и высшего образования».</w:t>
      </w:r>
    </w:p>
    <w:p w:rsidR="00F55EC8" w:rsidRPr="00F55EC8" w:rsidRDefault="00F55EC8" w:rsidP="00F55EC8">
      <w:pPr>
        <w:autoSpaceDE w:val="0"/>
        <w:autoSpaceDN w:val="0"/>
        <w:adjustRightInd w:val="0"/>
        <w:ind w:right="-2" w:firstLine="720"/>
        <w:rPr>
          <w:rFonts w:eastAsiaTheme="minorHAnsi"/>
        </w:rPr>
      </w:pPr>
      <w:r w:rsidRPr="00F55EC8">
        <w:rPr>
          <w:rFonts w:eastAsiaTheme="minorHAnsi"/>
        </w:rPr>
        <w:t xml:space="preserve">В связи с тем, что порядок организации и осуществления целевого обучения по образовательным программам среднего профессионального и высшего образования регламентируется </w:t>
      </w:r>
      <w:r w:rsidRPr="00F55EC8">
        <w:t>постановлением Правительства Российской Федерации от 13.10.2020 №1681 «О целевом обучении по образовательным программам среднего профессионального и высшего образования» необходимо внесение изменений в преамбулу решения городской Думы от 30.10.2020 №601 «Об утверждении Порядка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Барнаула» и пункт 1.1 Порядка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6"/>
        <w:gridCol w:w="4529"/>
      </w:tblGrid>
      <w:tr w:rsidR="00F55EC8" w:rsidRPr="00F55EC8" w:rsidTr="00F55EC8">
        <w:trPr>
          <w:jc w:val="center"/>
        </w:trPr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spacing w:line="256" w:lineRule="auto"/>
              <w:ind w:firstLine="0"/>
              <w:jc w:val="center"/>
            </w:pPr>
            <w:r w:rsidRPr="00F55EC8">
              <w:t>Действующая редакция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spacing w:line="256" w:lineRule="auto"/>
              <w:ind w:left="35" w:firstLine="0"/>
              <w:jc w:val="center"/>
            </w:pPr>
            <w:r w:rsidRPr="00F55EC8">
              <w:t>Предлагаемая редакция</w:t>
            </w:r>
          </w:p>
        </w:tc>
      </w:tr>
      <w:tr w:rsidR="00F55EC8" w:rsidRPr="00F55EC8" w:rsidTr="00F55EC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spacing w:line="256" w:lineRule="auto"/>
              <w:ind w:firstLine="0"/>
              <w:jc w:val="center"/>
            </w:pPr>
            <w:r w:rsidRPr="00F55EC8">
              <w:t>Преамбула решения</w:t>
            </w:r>
          </w:p>
        </w:tc>
      </w:tr>
      <w:tr w:rsidR="00F55EC8" w:rsidRPr="00F55EC8" w:rsidTr="00F55EC8">
        <w:trPr>
          <w:jc w:val="center"/>
        </w:trPr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/>
                <w:bCs/>
              </w:rPr>
            </w:pPr>
            <w:r w:rsidRPr="00F55EC8">
              <w:rPr>
                <w:rFonts w:eastAsiaTheme="minorHAnsi"/>
              </w:rPr>
              <w:t xml:space="preserve">В соответствии с </w:t>
            </w:r>
            <w:hyperlink r:id="rId4" w:history="1">
              <w:r w:rsidRPr="00F55EC8">
                <w:rPr>
                  <w:rStyle w:val="a3"/>
                  <w:rFonts w:eastAsiaTheme="minorHAnsi"/>
                  <w:color w:val="auto"/>
                  <w:u w:val="none"/>
                </w:rPr>
                <w:t>частью 2 статьи 56</w:t>
              </w:r>
            </w:hyperlink>
            <w:r w:rsidRPr="00F55EC8">
              <w:rPr>
                <w:rFonts w:eastAsiaTheme="minorHAnsi"/>
              </w:rPr>
              <w:t xml:space="preserve"> Федерального закона от 29.12.2012 №273-ФЗ «Об образовании в Российской Федерации», </w:t>
            </w:r>
            <w:hyperlink r:id="rId5" w:history="1">
              <w:r w:rsidRPr="00F55EC8">
                <w:rPr>
                  <w:rStyle w:val="a3"/>
                  <w:rFonts w:eastAsiaTheme="minorHAnsi"/>
                  <w:b/>
                  <w:color w:val="auto"/>
                  <w:u w:val="none"/>
                </w:rPr>
                <w:t>постановлением</w:t>
              </w:r>
            </w:hyperlink>
            <w:r w:rsidRPr="00F55EC8">
              <w:rPr>
                <w:rFonts w:eastAsiaTheme="minorHAnsi"/>
                <w:b/>
              </w:rPr>
              <w:t xml:space="preserve"> Правительства Российской Федерации от 21.03.2019 №302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№1076»</w:t>
            </w:r>
            <w:r w:rsidRPr="00F55EC8">
              <w:rPr>
                <w:rFonts w:eastAsiaTheme="minorHAnsi"/>
              </w:rPr>
              <w:t xml:space="preserve">, в целях материального стимулирования и поощрения граждан, заключивших договор о целевом обучении по программам высшего образования с комитетом по </w:t>
            </w:r>
            <w:r w:rsidRPr="00F55EC8">
              <w:rPr>
                <w:rFonts w:eastAsiaTheme="minorHAnsi"/>
              </w:rPr>
              <w:lastRenderedPageBreak/>
              <w:t xml:space="preserve">образованию города Барнаула, за достижения в учебной деятельности городская Дума решила: 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spacing w:line="256" w:lineRule="auto"/>
              <w:rPr>
                <w:b/>
              </w:rPr>
            </w:pPr>
            <w:r w:rsidRPr="00F55EC8">
              <w:rPr>
                <w:rFonts w:eastAsiaTheme="minorHAnsi"/>
              </w:rPr>
              <w:lastRenderedPageBreak/>
              <w:t xml:space="preserve">В соответствии с </w:t>
            </w:r>
            <w:hyperlink r:id="rId6" w:history="1">
              <w:r w:rsidRPr="00F55EC8">
                <w:rPr>
                  <w:rStyle w:val="a3"/>
                  <w:rFonts w:eastAsiaTheme="minorHAnsi"/>
                  <w:color w:val="auto"/>
                  <w:u w:val="none"/>
                </w:rPr>
                <w:t>частью 2 статьи 56</w:t>
              </w:r>
            </w:hyperlink>
            <w:r w:rsidRPr="00F55EC8">
              <w:rPr>
                <w:rFonts w:eastAsiaTheme="minorHAnsi"/>
              </w:rPr>
              <w:t xml:space="preserve"> Федерального закона от 29.12.2012 №273-ФЗ «Об образовании в Российской Федерации», </w:t>
            </w:r>
            <w:r w:rsidRPr="00F55EC8">
              <w:rPr>
                <w:b/>
              </w:rPr>
              <w:t>постановлением Правительства Российской Федерации от 13.10.2020 №1681 «О целевом обучении по образовательным программам среднего профессионального и высшего образования»</w:t>
            </w:r>
            <w:r w:rsidRPr="00F55EC8">
              <w:rPr>
                <w:rFonts w:eastAsiaTheme="minorHAnsi"/>
              </w:rPr>
              <w:t xml:space="preserve">, в целях материального стимулирования и поощрения граждан, заключивших договор о целевом обучении по программам высшего образования с комитетом по образованию города Барнаула, за достижения в учебной </w:t>
            </w:r>
            <w:r w:rsidRPr="00F55EC8">
              <w:rPr>
                <w:rFonts w:eastAsiaTheme="minorHAnsi"/>
              </w:rPr>
              <w:lastRenderedPageBreak/>
              <w:t>деятельности городская Дума решила:</w:t>
            </w:r>
          </w:p>
        </w:tc>
      </w:tr>
      <w:tr w:rsidR="00F55EC8" w:rsidRPr="00F55EC8" w:rsidTr="00F55EC8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spacing w:line="256" w:lineRule="auto"/>
              <w:ind w:firstLine="0"/>
              <w:jc w:val="center"/>
            </w:pPr>
            <w:r w:rsidRPr="00F55EC8">
              <w:lastRenderedPageBreak/>
              <w:t>Пункт 1.1 Порядка</w:t>
            </w:r>
          </w:p>
        </w:tc>
      </w:tr>
      <w:tr w:rsidR="00F55EC8" w:rsidRPr="00F55EC8" w:rsidTr="00F55EC8">
        <w:trPr>
          <w:jc w:val="center"/>
        </w:trPr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bCs/>
              </w:rPr>
            </w:pPr>
            <w:r w:rsidRPr="00F55EC8">
              <w:rPr>
                <w:rFonts w:eastAsiaTheme="minorHAnsi"/>
              </w:rPr>
              <w:t xml:space="preserve">Порядок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 (далее - Порядок), разработан в соответствии с </w:t>
            </w:r>
            <w:hyperlink r:id="rId7" w:history="1">
              <w:r w:rsidRPr="00F55EC8">
                <w:rPr>
                  <w:rStyle w:val="a3"/>
                  <w:rFonts w:eastAsiaTheme="minorHAnsi"/>
                  <w:color w:val="auto"/>
                  <w:u w:val="none"/>
                </w:rPr>
                <w:t>частью 2 статьи 56</w:t>
              </w:r>
            </w:hyperlink>
            <w:r w:rsidRPr="00F55EC8">
              <w:rPr>
                <w:rFonts w:eastAsiaTheme="minorHAnsi"/>
              </w:rPr>
              <w:t xml:space="preserve"> Федерального закона от 29.12.2012 №273-ФЗ «Об образовании в Российской Федерации», </w:t>
            </w:r>
            <w:hyperlink r:id="rId8" w:history="1">
              <w:r w:rsidRPr="00F55EC8">
                <w:rPr>
                  <w:rStyle w:val="a3"/>
                  <w:rFonts w:eastAsiaTheme="minorHAnsi"/>
                  <w:b/>
                  <w:color w:val="auto"/>
                  <w:u w:val="none"/>
                </w:rPr>
                <w:t>постановлением</w:t>
              </w:r>
            </w:hyperlink>
            <w:r w:rsidRPr="00F55EC8">
              <w:rPr>
                <w:rFonts w:eastAsiaTheme="minorHAnsi"/>
                <w:b/>
              </w:rPr>
              <w:t xml:space="preserve"> Правительства Российской Федерации от 21.03.2019 №302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 ноября 2013 г. №1076»</w:t>
            </w:r>
            <w:r w:rsidRPr="00F55EC8">
              <w:rPr>
                <w:rFonts w:eastAsiaTheme="minorHAnsi"/>
              </w:rPr>
              <w:t>, определяет условия и механизм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 (далее - комитет).</w:t>
            </w:r>
          </w:p>
        </w:tc>
        <w:tc>
          <w:tcPr>
            <w:tcW w:w="2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5EC8" w:rsidRPr="00F55EC8" w:rsidRDefault="00F55EC8">
            <w:pPr>
              <w:spacing w:line="256" w:lineRule="auto"/>
              <w:rPr>
                <w:rFonts w:eastAsiaTheme="minorHAnsi"/>
                <w:b/>
                <w:bCs/>
              </w:rPr>
            </w:pPr>
            <w:r w:rsidRPr="00F55EC8">
              <w:rPr>
                <w:rFonts w:eastAsiaTheme="minorHAnsi"/>
              </w:rPr>
              <w:t xml:space="preserve">Порядок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 (далее - Порядок), разработан в соответствии с </w:t>
            </w:r>
            <w:hyperlink r:id="rId9" w:history="1">
              <w:r w:rsidRPr="00F55EC8">
                <w:rPr>
                  <w:rStyle w:val="a3"/>
                  <w:rFonts w:eastAsiaTheme="minorHAnsi"/>
                  <w:color w:val="auto"/>
                  <w:u w:val="none"/>
                </w:rPr>
                <w:t>частью 2 статьи 56</w:t>
              </w:r>
            </w:hyperlink>
            <w:r w:rsidRPr="00F55EC8">
              <w:rPr>
                <w:rFonts w:eastAsiaTheme="minorHAnsi"/>
              </w:rPr>
              <w:t xml:space="preserve"> Федерального закона от 29.12.2012 №273-ФЗ «Об образовании в Российской Федерации», </w:t>
            </w:r>
            <w:r w:rsidRPr="00F55EC8">
              <w:rPr>
                <w:b/>
              </w:rPr>
              <w:t>постановлением Правительства Российской Федерации от 13.10.2020 №1681 «О целевом обучении по образовательным программам среднего профессионального и высшего образования»</w:t>
            </w:r>
            <w:r w:rsidRPr="00F55EC8">
              <w:rPr>
                <w:rFonts w:eastAsiaTheme="minorHAnsi"/>
              </w:rPr>
              <w:t>, определяет условия и механизм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 (далее - комитет).</w:t>
            </w:r>
          </w:p>
        </w:tc>
      </w:tr>
    </w:tbl>
    <w:p w:rsidR="00F55EC8" w:rsidRPr="00F55EC8" w:rsidRDefault="00F55EC8" w:rsidP="00F55EC8">
      <w:pPr>
        <w:ind w:right="-2"/>
        <w:rPr>
          <w:rFonts w:eastAsiaTheme="minorHAnsi"/>
        </w:rPr>
      </w:pPr>
      <w:r w:rsidRPr="00F55EC8">
        <w:rPr>
          <w:rFonts w:eastAsiaTheme="minorHAnsi"/>
        </w:rPr>
        <w:t>В отношении проекта решения городской Думы</w:t>
      </w:r>
      <w:r>
        <w:rPr>
          <w:rFonts w:eastAsiaTheme="minorHAnsi"/>
        </w:rPr>
        <w:t xml:space="preserve"> необходимо </w:t>
      </w:r>
      <w:r w:rsidRPr="00F55EC8">
        <w:rPr>
          <w:rFonts w:eastAsiaTheme="minorHAnsi"/>
        </w:rPr>
        <w:t xml:space="preserve"> проведен</w:t>
      </w:r>
      <w:r>
        <w:rPr>
          <w:rFonts w:eastAsiaTheme="minorHAnsi"/>
        </w:rPr>
        <w:t xml:space="preserve">ие </w:t>
      </w:r>
      <w:r w:rsidRPr="00F55EC8">
        <w:rPr>
          <w:rFonts w:eastAsiaTheme="minorHAnsi"/>
        </w:rPr>
        <w:t xml:space="preserve"> процедур</w:t>
      </w:r>
      <w:r>
        <w:rPr>
          <w:rFonts w:eastAsiaTheme="minorHAnsi"/>
        </w:rPr>
        <w:t>ы</w:t>
      </w:r>
      <w:r w:rsidRPr="00F55EC8">
        <w:rPr>
          <w:rFonts w:eastAsiaTheme="minorHAnsi"/>
        </w:rPr>
        <w:t xml:space="preserve"> </w:t>
      </w:r>
      <w:r w:rsidRPr="00F55EC8">
        <w:t xml:space="preserve">общественного обсуждения. </w:t>
      </w:r>
      <w:bookmarkStart w:id="0" w:name="_GoBack"/>
      <w:bookmarkEnd w:id="0"/>
    </w:p>
    <w:p w:rsidR="00F55EC8" w:rsidRPr="00F55EC8" w:rsidRDefault="00F55EC8" w:rsidP="00F55EC8">
      <w:pPr>
        <w:pStyle w:val="ConsPlusNormal"/>
        <w:ind w:right="-2" w:firstLine="709"/>
        <w:jc w:val="both"/>
        <w:rPr>
          <w:rFonts w:eastAsia="Calibri"/>
          <w:lang w:eastAsia="en-US"/>
        </w:rPr>
      </w:pPr>
      <w:r w:rsidRPr="00F55EC8">
        <w:rPr>
          <w:rFonts w:eastAsia="Calibri"/>
          <w:lang w:eastAsia="en-US"/>
        </w:rPr>
        <w:t>Проведение оценки регулирующего воздействия либо публичных слушаний по проекту решения городской Думы не требуется.</w:t>
      </w:r>
    </w:p>
    <w:p w:rsidR="00F55EC8" w:rsidRPr="00F55EC8" w:rsidRDefault="00F55EC8" w:rsidP="00F55EC8">
      <w:pPr>
        <w:pStyle w:val="ConsPlusNormal"/>
        <w:ind w:right="-2" w:firstLine="709"/>
        <w:jc w:val="both"/>
      </w:pPr>
      <w:r w:rsidRPr="00F55EC8">
        <w:rPr>
          <w:rFonts w:eastAsia="Calibri"/>
          <w:lang w:eastAsia="en-US"/>
        </w:rPr>
        <w:t>Предла</w:t>
      </w:r>
      <w:r w:rsidRPr="00F55EC8">
        <w:t>гаем принять настоящий проект решения городской Думы.</w:t>
      </w:r>
    </w:p>
    <w:p w:rsidR="00F55EC8" w:rsidRPr="00F55EC8" w:rsidRDefault="00F55EC8" w:rsidP="00F55EC8">
      <w:pPr>
        <w:ind w:right="-2"/>
      </w:pPr>
      <w:r w:rsidRPr="00F55EC8">
        <w:t xml:space="preserve">Антикоррупционная экспертиза проведена, </w:t>
      </w:r>
      <w:proofErr w:type="spellStart"/>
      <w:r w:rsidRPr="00F55EC8">
        <w:t>коррупциогенных</w:t>
      </w:r>
      <w:proofErr w:type="spellEnd"/>
      <w:r w:rsidRPr="00F55EC8">
        <w:t xml:space="preserve"> факторов не выявлено.</w:t>
      </w:r>
    </w:p>
    <w:p w:rsidR="00F55EC8" w:rsidRPr="00F55EC8" w:rsidRDefault="00F55EC8" w:rsidP="00F55EC8">
      <w:pPr>
        <w:ind w:right="-2"/>
      </w:pPr>
    </w:p>
    <w:p w:rsidR="00F55EC8" w:rsidRPr="00F55EC8" w:rsidRDefault="00F55EC8" w:rsidP="00F55EC8"/>
    <w:p w:rsidR="00F55EC8" w:rsidRPr="00F55EC8" w:rsidRDefault="00F55EC8" w:rsidP="00F55EC8">
      <w:pPr>
        <w:ind w:firstLine="0"/>
      </w:pPr>
      <w:r w:rsidRPr="00F55EC8">
        <w:t xml:space="preserve">Председатель комитета </w:t>
      </w:r>
    </w:p>
    <w:p w:rsidR="00F55EC8" w:rsidRDefault="00F55EC8" w:rsidP="00F55EC8">
      <w:pPr>
        <w:ind w:firstLine="0"/>
      </w:pPr>
      <w:proofErr w:type="gramStart"/>
      <w:r w:rsidRPr="00F55EC8">
        <w:t>по</w:t>
      </w:r>
      <w:proofErr w:type="gramEnd"/>
      <w:r w:rsidRPr="00F55EC8">
        <w:t xml:space="preserve"> образованию города Барнаула                                                            </w:t>
      </w:r>
      <w:proofErr w:type="spellStart"/>
      <w:r w:rsidRPr="00F55EC8">
        <w:t>А.Г.Муль</w:t>
      </w:r>
      <w:proofErr w:type="spellEnd"/>
    </w:p>
    <w:p w:rsidR="002769B1" w:rsidRDefault="002769B1"/>
    <w:sectPr w:rsidR="0027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C8"/>
    <w:rsid w:val="002769B1"/>
    <w:rsid w:val="00F5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649B2-FC75-4450-AA7A-AB791443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EC8"/>
    <w:rPr>
      <w:color w:val="0563C1" w:themeColor="hyperlink"/>
      <w:u w:val="single"/>
    </w:rPr>
  </w:style>
  <w:style w:type="paragraph" w:customStyle="1" w:styleId="ConsPlusNormal">
    <w:name w:val="ConsPlusNormal"/>
    <w:rsid w:val="00F55E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03006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191362.1086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108661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2103006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70191362.108661" TargetMode="External"/><Relationship Id="rId9" Type="http://schemas.openxmlformats.org/officeDocument/2006/relationships/hyperlink" Target="garantF1://70191362.108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1</cp:revision>
  <dcterms:created xsi:type="dcterms:W3CDTF">2021-06-11T03:15:00Z</dcterms:created>
  <dcterms:modified xsi:type="dcterms:W3CDTF">2021-06-11T03:17:00Z</dcterms:modified>
</cp:coreProperties>
</file>