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/>
    </w:p>
    <w:p>
      <w:pPr>
        <w:pStyle w:val="89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УТВЕРЖДЕНА</w:t>
      </w:r>
      <w:r/>
    </w:p>
    <w:p>
      <w:pPr>
        <w:pStyle w:val="89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/>
    </w:p>
    <w:p>
      <w:pPr>
        <w:pStyle w:val="89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</w:t>
      </w:r>
      <w:bookmarkStart w:id="0" w:name="OCRUncertain001"/>
      <w:r>
        <w:rPr>
          <w:sz w:val="28"/>
          <w:szCs w:val="28"/>
        </w:rPr>
      </w:r>
      <w:r/>
    </w:p>
    <w:p>
      <w:pPr>
        <w:pStyle w:val="897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«____»_________</w:t>
      </w:r>
      <w:bookmarkEnd w:id="0"/>
      <w:r>
        <w:rPr>
          <w:sz w:val="28"/>
          <w:szCs w:val="28"/>
        </w:rPr>
        <w:t xml:space="preserve">__ №</w:t>
      </w:r>
      <w:bookmarkStart w:id="1" w:name="OCRUncertain002"/>
      <w:r>
        <w:rPr>
          <w:sz w:val="28"/>
          <w:szCs w:val="28"/>
        </w:rPr>
        <w:t xml:space="preserve">____</w:t>
      </w:r>
      <w:bookmarkEnd w:id="1"/>
      <w:r>
        <w:rPr>
          <w:sz w:val="28"/>
          <w:szCs w:val="28"/>
        </w:rPr>
      </w:r>
      <w:r/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2"/>
        <w:jc w:val="center"/>
        <w:tabs>
          <w:tab w:val="left" w:pos="66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ПРОГРАММА</w:t>
      </w:r>
      <w:r>
        <w:rPr>
          <w:sz w:val="28"/>
          <w:szCs w:val="28"/>
        </w:rPr>
      </w:r>
      <w:r/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</w:t>
      </w:r>
      <w:r>
        <w:rPr>
          <w:sz w:val="28"/>
          <w:szCs w:val="28"/>
        </w:rPr>
        <w:t xml:space="preserve">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</w:t>
      </w:r>
      <w:r>
        <w:rPr>
          <w:sz w:val="28"/>
          <w:szCs w:val="28"/>
        </w:rPr>
        <w:t xml:space="preserve"> и предоставляемых услуг на территории Железнодорожного  района города Барнаула на 2024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  <w:r/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Анализ </w:t>
      </w:r>
      <w:r>
        <w:rPr>
          <w:sz w:val="28"/>
          <w:szCs w:val="28"/>
        </w:rPr>
        <w:t xml:space="preserve">текущего </w:t>
      </w:r>
      <w:r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 xml:space="preserve">осуществления муниципального </w:t>
      </w:r>
      <w:r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в сфере благоустройства, </w:t>
      </w:r>
      <w:r>
        <w:rPr>
          <w:sz w:val="28"/>
          <w:szCs w:val="28"/>
        </w:rPr>
        <w:t xml:space="preserve"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  <w:r/>
    </w:p>
    <w:p>
      <w:pPr>
        <w:pStyle w:val="8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2"/>
        <w:ind w:firstLine="709"/>
        <w:jc w:val="both"/>
      </w:pPr>
      <w:r>
        <w:rPr>
          <w:sz w:val="28"/>
          <w:szCs w:val="28"/>
        </w:rPr>
        <w:t xml:space="preserve">В соответствии с ч.1 ст.1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№248-ФЗ «О государственном контроле (надзоре) и муниципальном контроле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Российской Федерации»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Федеральный закон</w:t>
      </w:r>
      <w:r>
        <w:rPr>
          <w:sz w:val="28"/>
          <w:szCs w:val="28"/>
        </w:rPr>
        <w:t xml:space="preserve"> №248-ФЗ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муниципальный контроль осуществляется, в том числе, посредством профилактики нарушений обязательных требований. 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</w:t>
      </w:r>
      <w:r>
        <w:rPr>
          <w:sz w:val="28"/>
          <w:szCs w:val="28"/>
        </w:rPr>
        <w:t xml:space="preserve">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  <w:r>
        <w:rPr>
          <w:sz w:val="28"/>
          <w:szCs w:val="28"/>
          <w:highlight w:val="none"/>
        </w:rPr>
      </w:r>
      <w:r/>
    </w:p>
    <w:p>
      <w:pPr>
        <w:pStyle w:val="87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Муниципальный 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мероприятий, направленных 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редупреждение, выявление и пресечение нарушений обязательных требований, в пределах полномочий контрольного органа посредством профилактики нарушений обязательных требований, оценки соблюдения контролируемыми лицами обязательных требований, выявления их на</w:t>
      </w:r>
      <w:r>
        <w:rPr>
          <w:sz w:val="28"/>
          <w:szCs w:val="28"/>
        </w:rPr>
        <w:t xml:space="preserve">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Предметом муниципального контроля в сфере благоустройства, является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соблюдение контролируемыми лицами Правил благоустройства территории городского округа - города Барнаула Алтайского края,</w:t>
      </w:r>
      <w:r>
        <w:rPr>
          <w:sz w:val="28"/>
          <w:szCs w:val="28"/>
        </w:rPr>
        <w:t xml:space="preserve"> утвержденных решением Барнаульской городской Думы от 19.03.2021 №645, (далее – Правила благоустройства) и иных муниципальных пр</w:t>
      </w:r>
      <w:r>
        <w:rPr>
          <w:sz w:val="28"/>
          <w:szCs w:val="28"/>
        </w:rPr>
        <w:t xml:space="preserve">авовых актов города Барнаула в области благоустройства, принятых в соответствии с Правилами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исполнение контролируемыми лицами решений, принимаемых по результатам контрольных мероприятий. </w:t>
      </w:r>
      <w:r/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онтрол</w:t>
      </w:r>
      <w:r>
        <w:rPr>
          <w:sz w:val="28"/>
          <w:szCs w:val="28"/>
        </w:rPr>
        <w:t xml:space="preserve">ируемыми </w:t>
      </w:r>
      <w:r>
        <w:rPr>
          <w:sz w:val="28"/>
          <w:szCs w:val="28"/>
        </w:rPr>
        <w:t xml:space="preserve">лицами </w:t>
      </w:r>
      <w:r>
        <w:rPr>
          <w:sz w:val="28"/>
          <w:szCs w:val="28"/>
        </w:rPr>
        <w:t xml:space="preserve">при осуществлении </w:t>
      </w:r>
      <w:r>
        <w:rPr>
          <w:color w:val="000000"/>
          <w:sz w:val="28"/>
          <w:szCs w:val="28"/>
        </w:rPr>
        <w:t xml:space="preserve">контрол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</w:t>
      </w:r>
      <w:r>
        <w:rPr>
          <w:sz w:val="28"/>
          <w:szCs w:val="28"/>
        </w:rPr>
        <w:t xml:space="preserve"> в соответствии со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статьей 31 Федерального закона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№248-ФЗ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граждане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организации, деятельность, действия или результаты деятельности которых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либо производственные объекты, находящиеся во владении и (или) в пользовании которых, подлежат муниципальному контролю.</w:t>
      </w:r>
      <w:r>
        <w:rPr>
          <w:sz w:val="28"/>
          <w:szCs w:val="28"/>
        </w:rPr>
      </w:r>
      <w:r/>
    </w:p>
    <w:p>
      <w:pPr>
        <w:pStyle w:val="872"/>
        <w:ind w:firstLine="708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Администрацией Железнодорожного района (далее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администрация) в течение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осуществлялась профилактическая деятельность, направленная на недопущение, устранение нарушений обязательных требований в указанной сфере.</w:t>
      </w:r>
      <w:r/>
    </w:p>
    <w:p>
      <w:pPr>
        <w:pStyle w:val="872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странице администрации района на официальном Интернет-сайте города Барнаула размещен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тексты нормативных правовых актов, регулирующих осущес</w:t>
      </w:r>
      <w:r>
        <w:rPr>
          <w:sz w:val="28"/>
          <w:szCs w:val="28"/>
        </w:rPr>
        <w:t xml:space="preserve">твление муниципального контроля; </w:t>
      </w: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об изменениях, внесенных в нормативные правовые акты, регулирующие осуществление муниципального контроля, о сроках и порядке </w:t>
      </w:r>
      <w:r>
        <w:rPr>
          <w:sz w:val="28"/>
          <w:szCs w:val="28"/>
        </w:rPr>
        <w:t xml:space="preserve">их вступления в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мерах ответственности, применяемых при нарушении обязательных требований, с </w:t>
      </w:r>
      <w:r>
        <w:rPr>
          <w:sz w:val="28"/>
          <w:szCs w:val="28"/>
        </w:rPr>
        <w:t xml:space="preserve">текстами в действующей редакции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профилактики рисков причинения вреда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исчерпывающий перечень сведений, которые могут запрашиваться контрольным</w:t>
      </w:r>
      <w:r>
        <w:rPr>
          <w:sz w:val="28"/>
          <w:szCs w:val="28"/>
        </w:rPr>
        <w:t xml:space="preserve"> органом </w:t>
      </w:r>
      <w:r>
        <w:rPr>
          <w:sz w:val="28"/>
          <w:szCs w:val="28"/>
        </w:rPr>
        <w:t xml:space="preserve">у контролируемого лица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способах получения консультаций </w:t>
      </w:r>
      <w:r>
        <w:rPr>
          <w:sz w:val="28"/>
          <w:szCs w:val="28"/>
        </w:rPr>
        <w:t xml:space="preserve">по вопросам соб</w:t>
      </w:r>
      <w:r>
        <w:rPr>
          <w:sz w:val="28"/>
          <w:szCs w:val="28"/>
        </w:rPr>
        <w:t xml:space="preserve">людения обязательных требований, </w:t>
      </w:r>
      <w:r>
        <w:rPr>
          <w:sz w:val="28"/>
          <w:szCs w:val="28"/>
        </w:rPr>
        <w:t xml:space="preserve">сведения о порядке досудебного обжалования решений контрольного органа, действий (б</w:t>
      </w:r>
      <w:r>
        <w:rPr>
          <w:sz w:val="28"/>
          <w:szCs w:val="28"/>
        </w:rPr>
        <w:t xml:space="preserve">ездействия) его должностных лиц.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Администрацией района по состоянию на 22.09.2023 проведено </w:t>
        <w:br/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(без взаимодействия с контролируемым лицом), по результатам которых объявлено 6 предостережений о недопустимости нарушений обязательных требований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(4 –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юридическим лицам, 2 –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), выдан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64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рекомендации</w:t>
      </w:r>
      <w:r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, по результатам </w:t>
      </w:r>
      <w:r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45 </w:t>
      </w:r>
      <w:r>
        <w:rPr>
          <w:rFonts w:ascii="Times New Roman" w:hAnsi="Times New Roman" w:cs="Times New Roman"/>
          <w:sz w:val="28"/>
          <w:szCs w:val="22"/>
        </w:rPr>
        <w:t xml:space="preserve">мероприятий нарушений не выявлено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72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 xml:space="preserve">Цели и задачи реализации программы профилактики</w:t>
      </w:r>
      <w:r>
        <w:rPr>
          <w:sz w:val="28"/>
          <w:szCs w:val="28"/>
        </w:rPr>
        <w:t xml:space="preserve"> рисков причинения вреда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7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разработки Программы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</w:t>
      </w:r>
      <w:r>
        <w:rPr>
          <w:sz w:val="28"/>
          <w:szCs w:val="28"/>
        </w:rPr>
        <w:t xml:space="preserve">оступности для инвалидов объектов социальной, инженерной и транспортной инфраструктур и предоставляемых услуг на территории Железнодорожного  района города Барнаула на 2024 год</w:t>
      </w:r>
      <w:r>
        <w:rPr>
          <w:sz w:val="28"/>
          <w:szCs w:val="28"/>
        </w:rPr>
      </w:r>
      <w:r>
        <w:rPr>
          <w:sz w:val="28"/>
          <w:szCs w:val="28"/>
        </w:rPr>
        <w:t xml:space="preserve"> (далее – Программа профилактики) и проведения пр</w:t>
      </w:r>
      <w:r>
        <w:rPr>
          <w:sz w:val="28"/>
          <w:szCs w:val="28"/>
        </w:rPr>
        <w:t xml:space="preserve">офилактической работы:</w:t>
      </w:r>
      <w:r>
        <w:rPr>
          <w:sz w:val="28"/>
          <w:szCs w:val="28"/>
        </w:rPr>
      </w:r>
      <w:r/>
    </w:p>
    <w:p>
      <w:pPr>
        <w:pStyle w:val="872"/>
        <w:ind w:left="59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  <w:r>
        <w:rPr>
          <w:sz w:val="28"/>
          <w:szCs w:val="28"/>
        </w:rPr>
      </w:r>
      <w:r/>
    </w:p>
    <w:p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повышение прозрачности системы муниципального контроля;</w:t>
      </w:r>
      <w:r>
        <w:rPr>
          <w:sz w:val="28"/>
          <w:szCs w:val="28"/>
        </w:rPr>
      </w:r>
      <w:r/>
    </w:p>
    <w:p>
      <w:pPr>
        <w:pStyle w:val="872"/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формиров</w:t>
      </w:r>
      <w:r>
        <w:rPr>
          <w:sz w:val="28"/>
          <w:szCs w:val="28"/>
        </w:rPr>
        <w:t xml:space="preserve">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  <w:r/>
    </w:p>
    <w:p>
      <w:pPr>
        <w:pStyle w:val="872"/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  <w:r/>
    </w:p>
    <w:p>
      <w:pPr>
        <w:pStyle w:val="872"/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мотивация подконтрольных субъектов к добросовестному поведению.</w:t>
      </w:r>
      <w:r/>
    </w:p>
    <w:p>
      <w:pPr>
        <w:pStyle w:val="87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профилактических мероприятий Программы позволяет решить следующие задачи:</w:t>
      </w:r>
      <w:r/>
    </w:p>
    <w:p>
      <w:pPr>
        <w:pStyle w:val="872"/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/>
    </w:p>
    <w:p>
      <w:pPr>
        <w:pStyle w:val="872"/>
        <w:ind w:left="5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  <w:r>
        <w:rPr>
          <w:sz w:val="28"/>
          <w:szCs w:val="28"/>
          <w:highlight w:val="none"/>
        </w:rPr>
      </w:r>
      <w:r/>
    </w:p>
    <w:p>
      <w:pPr>
        <w:pStyle w:val="872"/>
        <w:ind w:left="59"/>
        <w:jc w:val="both"/>
        <w:rPr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снижение уровня административной нагрузки на организации и граждан, осуществляющих предпринимательскую деятельность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/>
    </w:p>
    <w:p>
      <w:pPr>
        <w:ind w:left="5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2"/>
        <w:jc w:val="center"/>
        <w:rPr>
          <w:sz w:val="28"/>
          <w:szCs w:val="28"/>
          <w:highlight w:val="none"/>
        </w:rPr>
      </w:pPr>
      <w:r/>
      <w:bookmarkStart w:id="2" w:name="sub_7701"/>
      <w:r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еречень профилактических мероприятий, сроки (периодичность) их проведения</w:t>
      </w:r>
      <w:bookmarkEnd w:id="2"/>
      <w:r>
        <w:rPr>
          <w:sz w:val="28"/>
          <w:szCs w:val="28"/>
        </w:rPr>
      </w:r>
      <w:r/>
    </w:p>
    <w:tbl>
      <w:tblPr>
        <w:tblStyle w:val="72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60"/>
        <w:gridCol w:w="2268"/>
        <w:gridCol w:w="1951"/>
      </w:tblGrid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мероприятии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 мероприятия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bottom w:val="single" w:color="000000" w:sz="12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дминистрация района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странице администрации района на официальном Интернет-сайте гор</w:t>
            </w:r>
            <w:r>
              <w:rPr>
                <w:sz w:val="24"/>
                <w:szCs w:val="24"/>
              </w:rPr>
              <w:t xml:space="preserve">ода Барнаула и в иных формах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мере необходимости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коммунального хозяйства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  <w:tr>
        <w:trPr/>
        <w:tc>
          <w:tcPr>
            <w:tcBorders>
              <w:top w:val="single" w:color="000000" w:sz="12" w:space="0"/>
            </w:tcBorders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12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Администрация района размещает и поддерживает в актуальном состоянии на странице администрации района на официальном Интернет-сайте города Барнаула: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  <w:highlight w:val="none"/>
              </w:rPr>
              <w:outlineLvl w:val="2"/>
            </w:pPr>
            <w:r>
              <w:rPr>
                <w:sz w:val="24"/>
                <w:szCs w:val="24"/>
              </w:rPr>
              <w:t xml:space="preserve">1)</w:t>
            </w:r>
            <w:r>
              <w:rPr>
                <w:sz w:val="24"/>
                <w:szCs w:val="24"/>
              </w:rPr>
              <w:t xml:space="preserve"> тексты нормативных правовых актов, регулирующих осуществление муниципального контроля;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260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  <w:r>
              <w:rPr>
                <w:sz w:val="24"/>
                <w:szCs w:val="24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959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 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</w:t>
            </w:r>
            <w:r>
              <w:rPr>
                <w:sz w:val="24"/>
                <w:szCs w:val="24"/>
              </w:rPr>
              <w:t xml:space="preserve">ований, с текстами в действующей редакции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z w:val="24"/>
                <w:szCs w:val="24"/>
              </w:rPr>
              <w:t xml:space="preserve">утвержденные проверочные листы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z w:val="24"/>
                <w:szCs w:val="24"/>
              </w:rPr>
              <w:t xml:space="preserve">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z w:val="24"/>
                <w:szCs w:val="24"/>
              </w:rPr>
              <w:t xml:space="preserve">перечень индикаторов риска нарушения обязательных требований, порядок отнесения объектов контроля к категориям риска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818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z w:val="24"/>
                <w:szCs w:val="24"/>
              </w:rPr>
              <w:t xml:space="preserve">перечень объектов контроля, учитываемых в рамках формирования ежегодного плана контрольных мероприятий, с указанием категории риска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>
              <w:rPr>
                <w:sz w:val="24"/>
                <w:szCs w:val="24"/>
              </w:rPr>
              <w:t xml:space="preserve">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 25.12.2024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исчерпывающий перечень сведений, которые могут запрашиваться контрольным органом у контролируемого лица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мере необходимости)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174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сведения о способах получения консультаций по вопросам соблюдения обязательных требований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  <w:t xml:space="preserve">)</w:t>
            </w:r>
            <w:r>
              <w:rPr>
                <w:sz w:val="24"/>
                <w:szCs w:val="24"/>
                <w:lang w:val="en-US"/>
              </w:rPr>
              <w:t xml:space="preserve">доклады, содержащие результаты обобщения правоприменительной практики контрольного органа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15.03.2024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</w:t>
            </w:r>
            <w:r>
              <w:rPr>
                <w:sz w:val="24"/>
                <w:szCs w:val="24"/>
              </w:rPr>
              <w:t xml:space="preserve"> доклады о муниципальном контроле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07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r>
              <w:rPr>
                <w:sz w:val="24"/>
                <w:szCs w:val="24"/>
              </w:rPr>
              <w:t xml:space="preserve"> иные сведения, предусмотренные нормативными правовыми актами Российской Федерации, Алтайского края и муниципальными правовыми актами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течении года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(по мере необходимости)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правопримени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тельной практики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Подготовка проекта доклада, содержащего результаты обобщения правоприменительной практики (далее – доклад о правоприменительной практике)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01.02.202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Правовой отдел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коммунального хозяйства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строительству и архитектуре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развитию предпринима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тельства и потребитель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скому рынку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делам молодежи, культуре, физкультуре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спорту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Размещение проекта доклада о правоприменительной практике на официальном Интернет-сайте города Барнаула для публичного обсуждения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15.02.202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Проведение совещаний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вопросам обобщения правоприменительной практики осуществления муниципального контроля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(не реже 1 раза </w:t>
            </w:r>
            <w:r>
              <w:rPr>
                <w:sz w:val="24"/>
                <w:szCs w:val="24"/>
              </w:rPr>
              <w:t xml:space="preserve">в год)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275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Проведение учеб муниципальных служащих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вопросам обобщения правоприменительной практики осуществления муниципального контроля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Объявление предостережения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Объявление контролируемому лицу предостережения </w:t>
            </w:r>
            <w:r>
              <w:rPr>
                <w:sz w:val="24"/>
                <w:szCs w:val="24"/>
              </w:rPr>
              <w:t xml:space="preserve">о недопустимости нарушения обязательных требований </w:t>
            </w:r>
            <w:r>
              <w:rPr>
                <w:sz w:val="24"/>
                <w:szCs w:val="24"/>
              </w:rPr>
              <w:t xml:space="preserve">и предложение принять меры по обеспечению соблюдения обязательных требований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года (п</w:t>
            </w:r>
            <w:r>
              <w:rPr>
                <w:sz w:val="24"/>
                <w:szCs w:val="24"/>
              </w:rPr>
              <w:t xml:space="preserve">о мере необходимости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Инспекторы муниципального контроля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Консультирование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Консультирование осуществляется муниципальными служащими в ходе личного приема, </w:t>
            </w:r>
            <w:r>
              <w:rPr>
                <w:sz w:val="24"/>
                <w:szCs w:val="24"/>
              </w:rPr>
              <w:t xml:space="preserve">а также по телефону по следующим вопросам: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разъяснение положений нормативных правовых актов, содержащих обязательные требования, оценка соблюдения которых осуществляется </w:t>
            </w:r>
            <w:r>
              <w:rPr>
                <w:sz w:val="24"/>
                <w:szCs w:val="24"/>
              </w:rPr>
              <w:t xml:space="preserve">в рамках муниципального контроля;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разъяснение положений нормативных правовых актов, регламентирующих порядок осуществления муниципального контроля;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порядок обжалования действий (бездействия) должностных лиц администрации района.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В случае если </w:t>
            </w:r>
            <w:r>
              <w:rPr>
                <w:sz w:val="24"/>
                <w:szCs w:val="24"/>
              </w:rPr>
              <w:t xml:space="preserve">в течение календарного года поступило 5 и более однотипных (по одним и тем </w:t>
            </w:r>
            <w:r>
              <w:rPr>
                <w:sz w:val="24"/>
                <w:szCs w:val="24"/>
              </w:rPr>
              <w:t xml:space="preserve">же вопросам) обращений контролируемых лиц и их представителей по указанным вопросам, консультирование осуществляется посредством размещения </w:t>
            </w:r>
            <w:r>
              <w:rPr>
                <w:sz w:val="24"/>
                <w:szCs w:val="24"/>
              </w:rPr>
              <w:t xml:space="preserve">на странице администрации района </w:t>
            </w:r>
            <w:r>
              <w:rPr>
                <w:sz w:val="24"/>
                <w:szCs w:val="24"/>
              </w:rPr>
              <w:t xml:space="preserve">на официальном Интернет-сайте города Барнаула письменного разъяснения, подписанного уполномоченным должностным лицом.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мере необходимости)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коммунального хозяйства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строительству и архитектуре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развитию предпринима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тельства и потребитель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скому рынку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делам молодежи, культуре, физкультуре и спорту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Профилактичес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кий визит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профилактической беседы по месту осуществления деятельности контролируемого лица либо путем использования видео-конференц-связи, </w:t>
            </w:r>
            <w:r>
              <w:rPr>
                <w:sz w:val="24"/>
                <w:szCs w:val="24"/>
              </w:rPr>
              <w:t xml:space="preserve">с целью информирования </w:t>
            </w:r>
            <w:r>
              <w:rPr>
                <w:sz w:val="24"/>
                <w:szCs w:val="24"/>
              </w:rPr>
              <w:t xml:space="preserve">об обязательных требованиях, предъявляемых к его деятельности либо </w:t>
            </w:r>
            <w:r>
              <w:rPr>
                <w:sz w:val="24"/>
                <w:szCs w:val="24"/>
              </w:rPr>
              <w:t xml:space="preserve">к принадлежащим ему объектам контроля, </w:t>
            </w:r>
            <w:r>
              <w:rPr>
                <w:sz w:val="24"/>
                <w:szCs w:val="24"/>
              </w:rPr>
              <w:t xml:space="preserve">их соответствии критериям риска, основаниях и о рекомендуемых способах снижения категории риска, </w:t>
            </w:r>
            <w:r>
              <w:rPr>
                <w:sz w:val="24"/>
                <w:szCs w:val="24"/>
              </w:rPr>
              <w:t xml:space="preserve">а также о видах, содержании и </w:t>
            </w:r>
            <w:r>
              <w:rPr>
                <w:sz w:val="24"/>
                <w:szCs w:val="24"/>
              </w:rPr>
              <w:t xml:space="preserve">об интенсивности контрольных (надзорных) мероприятий, проводимых </w:t>
            </w:r>
            <w:r>
              <w:rPr>
                <w:sz w:val="24"/>
                <w:szCs w:val="24"/>
              </w:rPr>
              <w:t xml:space="preserve">в отношении объекта контроля исходя </w:t>
            </w:r>
            <w:r>
              <w:rPr>
                <w:sz w:val="24"/>
                <w:szCs w:val="24"/>
              </w:rPr>
              <w:t xml:space="preserve">из его отнесения </w:t>
            </w:r>
            <w:r>
              <w:rPr>
                <w:sz w:val="24"/>
                <w:szCs w:val="24"/>
              </w:rPr>
              <w:t xml:space="preserve">к соответствующей категории риска.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ежеквартально не позднее 25 числа месяца, предшествующего началу очередного квартала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Инспекторы муниципального контроля</w:t>
            </w:r>
            <w:r/>
          </w:p>
          <w:p>
            <w:pPr>
              <w:pStyle w:val="8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Показатели результативности и эффективности программы профилактики</w:t>
      </w:r>
      <w:r>
        <w:rPr>
          <w:sz w:val="28"/>
          <w:szCs w:val="28"/>
        </w:rPr>
      </w:r>
      <w:r/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Отчетные показатели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рограммы предназначены способствовать максимальному достижению сокращения количества нарушений субъектами, в отношении которых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осуществляется муниципальный контроль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включа</w:t>
      </w:r>
      <w:r>
        <w:rPr>
          <w:sz w:val="28"/>
          <w:szCs w:val="28"/>
        </w:rPr>
        <w:t xml:space="preserve">ют в себя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72"/>
        <w:ind w:firstLine="709"/>
        <w:jc w:val="both"/>
        <w:shd w:val="clear" w:color="auto" w:fill="ffffff"/>
        <w:tabs>
          <w:tab w:val="left" w:pos="8222" w:leader="none"/>
        </w:tabs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outlineLvl w:val="2"/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- долю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 </w:t>
      </w:r>
      <w:r/>
    </w:p>
    <w:p>
      <w:pPr>
        <w:pStyle w:val="872"/>
        <w:ind w:firstLine="709"/>
        <w:jc w:val="both"/>
        <w:shd w:val="clear" w:color="auto" w:fill="ffffff"/>
        <w:tabs>
          <w:tab w:val="left" w:pos="8222" w:leader="none"/>
        </w:tabs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outlineLvl w:val="2"/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  <w:r/>
    </w:p>
    <w:p>
      <w:pPr>
        <w:pStyle w:val="872"/>
        <w:ind w:firstLine="709"/>
        <w:jc w:val="both"/>
        <w:shd w:val="clear" w:color="auto" w:fill="ffffff"/>
        <w:tabs>
          <w:tab w:val="left" w:pos="8222" w:leader="none"/>
        </w:tabs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outlineLvl w:val="2"/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- 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ю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профилактических мероприятий в объеме контрольных мероприятий. </w:t>
      </w:r>
      <w:r/>
    </w:p>
    <w:p>
      <w:pPr>
        <w:pStyle w:val="872"/>
        <w:ind w:firstLine="708"/>
        <w:jc w:val="both"/>
        <w:rPr>
          <w:rFonts w:eastAsia="Arial"/>
          <w:color w:val="000000"/>
          <w:spacing w:val="-4"/>
          <w:sz w:val="28"/>
          <w:szCs w:val="28"/>
          <w:highlight w:val="none"/>
          <w:shd w:val="clear" w:color="auto" w:fill="ffffff"/>
        </w:rPr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отношение количества проведенных профилактических мероприятий к количеству про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веденных контрольных мероприятий. 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r>
      <w:r/>
    </w:p>
    <w:p>
      <w:pPr>
        <w:ind w:firstLine="708"/>
        <w:jc w:val="both"/>
        <w:rPr>
          <w:rFonts w:eastAsia="Arial"/>
          <w:color w:val="000000"/>
          <w:spacing w:val="-4"/>
          <w:sz w:val="28"/>
          <w:szCs w:val="28"/>
        </w:rPr>
      </w:pPr>
      <w:r>
        <w:rPr>
          <w:rFonts w:eastAsia="Arial"/>
          <w:color w:val="000000"/>
          <w:spacing w:val="-4"/>
          <w:sz w:val="28"/>
          <w:szCs w:val="28"/>
        </w:rPr>
      </w:r>
      <w:r>
        <w:rPr>
          <w:rFonts w:eastAsia="Arial"/>
          <w:color w:val="000000"/>
          <w:spacing w:val="-4"/>
          <w:sz w:val="28"/>
          <w:szCs w:val="28"/>
        </w:rPr>
      </w:r>
      <w:r/>
    </w:p>
    <w:p>
      <w:pPr>
        <w:ind w:firstLine="708"/>
        <w:jc w:val="both"/>
        <w:rPr>
          <w:rFonts w:eastAsia="Arial"/>
          <w:color w:val="000000"/>
          <w:spacing w:val="-4"/>
          <w:sz w:val="28"/>
          <w:szCs w:val="28"/>
        </w:rPr>
      </w:pPr>
      <w:r>
        <w:rPr>
          <w:rFonts w:eastAsia="Arial"/>
          <w:color w:val="000000"/>
          <w:spacing w:val="-4"/>
          <w:sz w:val="28"/>
          <w:szCs w:val="28"/>
        </w:rPr>
      </w:r>
      <w:r>
        <w:rPr>
          <w:rFonts w:eastAsia="Arial"/>
          <w:color w:val="000000"/>
          <w:spacing w:val="-4"/>
          <w:sz w:val="28"/>
          <w:szCs w:val="28"/>
        </w:rPr>
      </w:r>
      <w:r/>
    </w:p>
    <w:p>
      <w:pPr>
        <w:ind w:firstLine="708"/>
        <w:jc w:val="both"/>
        <w:rPr>
          <w:rFonts w:eastAsia="Arial"/>
          <w:color w:val="000000"/>
          <w:spacing w:val="-4"/>
          <w:sz w:val="28"/>
          <w:szCs w:val="28"/>
        </w:rPr>
      </w:pPr>
      <w:r>
        <w:rPr>
          <w:rFonts w:eastAsia="Arial"/>
          <w:color w:val="000000"/>
          <w:spacing w:val="-4"/>
          <w:sz w:val="28"/>
          <w:szCs w:val="28"/>
          <w:highlight w:val="none"/>
          <w:shd w:val="clear" w:color="auto" w:fill="ffffff"/>
        </w:rPr>
      </w:r>
      <w:r>
        <w:rPr>
          <w:rFonts w:eastAsia="Arial"/>
          <w:color w:val="000000"/>
          <w:spacing w:val="-4"/>
          <w:sz w:val="28"/>
          <w:szCs w:val="28"/>
          <w:highlight w:val="none"/>
          <w:shd w:val="clear" w:color="auto" w:fill="ffffff"/>
        </w:rPr>
      </w:r>
      <w:r/>
    </w:p>
    <w:p>
      <w:pPr>
        <w:pStyle w:val="872"/>
        <w:ind w:firstLine="708"/>
        <w:jc w:val="both"/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134" w:right="567" w:bottom="1106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1985" w:bottom="1134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right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57</w:t>
    </w:r>
    <w:r>
      <w:rPr>
        <w:rStyle w:val="887"/>
      </w:rPr>
      <w:fldChar w:fldCharType="end"/>
    </w:r>
    <w:r>
      <w:rPr>
        <w:rStyle w:val="887"/>
      </w:rPr>
    </w:r>
    <w:r/>
  </w:p>
  <w:p>
    <w:pPr>
      <w:pStyle w:val="886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right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/>
  </w:p>
  <w:p>
    <w:pPr>
      <w:pStyle w:val="88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1725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872"/>
        <w:ind w:left="9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872"/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2"/>
        <w:ind w:left="25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2"/>
        <w:ind w:left="32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2"/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2"/>
        <w:ind w:left="46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2"/>
        <w:ind w:left="53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2"/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2"/>
        <w:ind w:left="683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648" w:hanging="360"/>
        <w:tabs>
          <w:tab w:val="num" w:pos="64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pStyle w:val="872"/>
        <w:ind w:left="942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"/>
      <w:lvlJc w:val="left"/>
      <w:pPr>
        <w:pStyle w:val="872"/>
        <w:ind w:left="1070" w:hanging="360"/>
        <w:tabs>
          <w:tab w:val="num" w:pos="1070" w:leader="none"/>
        </w:tabs>
      </w:pPr>
      <w:rPr>
        <w:rFonts w:ascii="Wingdings" w:hAnsi="Wingdings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885" w:hanging="525"/>
        <w:tabs>
          <w:tab w:val="num" w:pos="8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6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0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2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6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8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2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paragraph" w:styleId="873">
    <w:name w:val="Заголовок 1"/>
    <w:basedOn w:val="872"/>
    <w:next w:val="872"/>
    <w:link w:val="872"/>
    <w:qFormat/>
    <w:pPr>
      <w:keepNext/>
      <w:outlineLvl w:val="0"/>
    </w:pPr>
    <w:rPr>
      <w:sz w:val="28"/>
    </w:rPr>
  </w:style>
  <w:style w:type="paragraph" w:styleId="874">
    <w:name w:val="Заголовок 2"/>
    <w:basedOn w:val="872"/>
    <w:next w:val="872"/>
    <w:link w:val="872"/>
    <w:qFormat/>
    <w:pPr>
      <w:jc w:val="center"/>
      <w:keepNext/>
      <w:outlineLvl w:val="1"/>
    </w:pPr>
    <w:rPr>
      <w:sz w:val="40"/>
    </w:rPr>
  </w:style>
  <w:style w:type="paragraph" w:styleId="875">
    <w:name w:val="Заголовок 3"/>
    <w:basedOn w:val="872"/>
    <w:next w:val="872"/>
    <w:link w:val="881"/>
    <w:qFormat/>
    <w:pPr>
      <w:jc w:val="center"/>
      <w:keepNext/>
      <w:outlineLvl w:val="2"/>
    </w:pPr>
    <w:rPr>
      <w:sz w:val="32"/>
      <w:lang w:val="en-US" w:eastAsia="en-US"/>
    </w:rPr>
  </w:style>
  <w:style w:type="paragraph" w:styleId="876">
    <w:name w:val="Заголовок 4"/>
    <w:basedOn w:val="872"/>
    <w:next w:val="872"/>
    <w:link w:val="872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77">
    <w:name w:val="Заголовок 7"/>
    <w:basedOn w:val="872"/>
    <w:next w:val="872"/>
    <w:link w:val="882"/>
    <w:qFormat/>
    <w:pPr>
      <w:keepNext/>
      <w:outlineLvl w:val="6"/>
    </w:pPr>
    <w:rPr>
      <w:sz w:val="28"/>
      <w:szCs w:val="20"/>
      <w:lang w:val="en-US" w:eastAsia="en-US"/>
    </w:rPr>
  </w:style>
  <w:style w:type="character" w:styleId="878">
    <w:name w:val="Основной шрифт абзаца"/>
    <w:next w:val="878"/>
    <w:link w:val="872"/>
    <w:semiHidden/>
  </w:style>
  <w:style w:type="table" w:styleId="879">
    <w:name w:val="Обычная таблица"/>
    <w:next w:val="879"/>
    <w:link w:val="872"/>
    <w:semiHidden/>
    <w:tblPr/>
  </w:style>
  <w:style w:type="numbering" w:styleId="880">
    <w:name w:val="Нет списка"/>
    <w:next w:val="880"/>
    <w:link w:val="872"/>
    <w:uiPriority w:val="99"/>
    <w:semiHidden/>
  </w:style>
  <w:style w:type="character" w:styleId="881">
    <w:name w:val="Заголовок 3 Знак"/>
    <w:next w:val="881"/>
    <w:link w:val="875"/>
    <w:rPr>
      <w:sz w:val="32"/>
      <w:szCs w:val="24"/>
    </w:rPr>
  </w:style>
  <w:style w:type="character" w:styleId="882">
    <w:name w:val="Заголовок 7 Знак"/>
    <w:next w:val="882"/>
    <w:link w:val="877"/>
    <w:rPr>
      <w:sz w:val="28"/>
    </w:rPr>
  </w:style>
  <w:style w:type="paragraph" w:styleId="883">
    <w:name w:val="Основной текст"/>
    <w:basedOn w:val="872"/>
    <w:next w:val="883"/>
    <w:link w:val="884"/>
    <w:rPr>
      <w:sz w:val="28"/>
      <w:lang w:val="en-US" w:eastAsia="en-US"/>
    </w:rPr>
  </w:style>
  <w:style w:type="character" w:styleId="884">
    <w:name w:val="Основной текст Знак"/>
    <w:next w:val="884"/>
    <w:link w:val="883"/>
    <w:rPr>
      <w:sz w:val="28"/>
      <w:szCs w:val="24"/>
    </w:rPr>
  </w:style>
  <w:style w:type="paragraph" w:styleId="885">
    <w:name w:val="Текст выноски"/>
    <w:basedOn w:val="872"/>
    <w:next w:val="885"/>
    <w:link w:val="872"/>
    <w:semiHidden/>
    <w:rPr>
      <w:rFonts w:ascii="Tahoma" w:hAnsi="Tahoma" w:cs="Tahoma"/>
      <w:sz w:val="16"/>
      <w:szCs w:val="16"/>
    </w:rPr>
  </w:style>
  <w:style w:type="paragraph" w:styleId="886">
    <w:name w:val="Верхний колонтитул"/>
    <w:basedOn w:val="872"/>
    <w:next w:val="886"/>
    <w:link w:val="872"/>
    <w:pPr>
      <w:tabs>
        <w:tab w:val="center" w:pos="4677" w:leader="none"/>
        <w:tab w:val="right" w:pos="9355" w:leader="none"/>
      </w:tabs>
    </w:pPr>
  </w:style>
  <w:style w:type="character" w:styleId="887">
    <w:name w:val="Номер страницы"/>
    <w:basedOn w:val="878"/>
    <w:next w:val="887"/>
    <w:link w:val="872"/>
  </w:style>
  <w:style w:type="paragraph" w:styleId="888">
    <w:name w:val="Основной текст с отступом"/>
    <w:basedOn w:val="872"/>
    <w:next w:val="888"/>
    <w:link w:val="872"/>
    <w:pPr>
      <w:ind w:left="283"/>
      <w:spacing w:after="120"/>
    </w:pPr>
  </w:style>
  <w:style w:type="paragraph" w:styleId="889">
    <w:name w:val="Основной текст 2"/>
    <w:basedOn w:val="872"/>
    <w:next w:val="889"/>
    <w:link w:val="890"/>
    <w:pPr>
      <w:spacing w:after="120" w:line="480" w:lineRule="auto"/>
    </w:pPr>
    <w:rPr>
      <w:lang w:val="en-US" w:eastAsia="en-US"/>
    </w:rPr>
  </w:style>
  <w:style w:type="character" w:styleId="890">
    <w:name w:val="Основной текст 2 Знак"/>
    <w:next w:val="890"/>
    <w:link w:val="889"/>
    <w:rPr>
      <w:sz w:val="24"/>
      <w:szCs w:val="24"/>
    </w:rPr>
  </w:style>
  <w:style w:type="paragraph" w:styleId="891">
    <w:name w:val="Нижний колонтитул"/>
    <w:basedOn w:val="872"/>
    <w:next w:val="891"/>
    <w:link w:val="89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2">
    <w:name w:val="Нижний колонтитул Знак"/>
    <w:next w:val="892"/>
    <w:link w:val="891"/>
    <w:rPr>
      <w:sz w:val="24"/>
      <w:szCs w:val="24"/>
    </w:rPr>
  </w:style>
  <w:style w:type="paragraph" w:styleId="893">
    <w:name w:val="Схема документа"/>
    <w:basedOn w:val="872"/>
    <w:next w:val="893"/>
    <w:link w:val="894"/>
    <w:rPr>
      <w:rFonts w:ascii="Tahoma" w:hAnsi="Tahoma"/>
      <w:sz w:val="16"/>
      <w:szCs w:val="16"/>
      <w:lang w:val="en-US" w:eastAsia="en-US"/>
    </w:rPr>
  </w:style>
  <w:style w:type="character" w:styleId="894">
    <w:name w:val="Схема документа Знак"/>
    <w:next w:val="894"/>
    <w:link w:val="893"/>
    <w:rPr>
      <w:rFonts w:ascii="Tahoma" w:hAnsi="Tahoma" w:cs="Tahoma"/>
      <w:sz w:val="16"/>
      <w:szCs w:val="16"/>
    </w:rPr>
  </w:style>
  <w:style w:type="character" w:styleId="895">
    <w:name w:val="Гиперссылка"/>
    <w:next w:val="895"/>
    <w:link w:val="872"/>
    <w:uiPriority w:val="99"/>
    <w:unhideWhenUsed/>
    <w:rPr>
      <w:color w:val="0000ff"/>
      <w:u w:val="single"/>
    </w:rPr>
  </w:style>
  <w:style w:type="paragraph" w:styleId="896">
    <w:name w:val="Обычный (веб)"/>
    <w:basedOn w:val="872"/>
    <w:next w:val="896"/>
    <w:link w:val="872"/>
    <w:uiPriority w:val="99"/>
    <w:unhideWhenUsed/>
    <w:pPr>
      <w:spacing w:before="100" w:beforeAutospacing="1" w:after="100" w:afterAutospacing="1"/>
    </w:pPr>
  </w:style>
  <w:style w:type="paragraph" w:styleId="897">
    <w:name w:val="ConsPlusNormal"/>
    <w:next w:val="897"/>
    <w:link w:val="872"/>
    <w:pPr>
      <w:widowControl w:val="off"/>
    </w:pPr>
    <w:rPr>
      <w:sz w:val="24"/>
      <w:lang w:val="ru-RU" w:eastAsia="ru-RU" w:bidi="ar-SA"/>
    </w:rPr>
  </w:style>
  <w:style w:type="paragraph" w:styleId="898">
    <w:name w:val="ConsPlusTitle"/>
    <w:next w:val="898"/>
    <w:link w:val="872"/>
    <w:pPr>
      <w:widowControl w:val="off"/>
    </w:pPr>
    <w:rPr>
      <w:b/>
      <w:sz w:val="24"/>
      <w:lang w:val="ru-RU" w:eastAsia="ru-RU" w:bidi="ar-SA"/>
    </w:rPr>
  </w:style>
  <w:style w:type="paragraph" w:styleId="899">
    <w:name w:val="Абзац списка"/>
    <w:basedOn w:val="872"/>
    <w:next w:val="899"/>
    <w:link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00">
    <w:name w:val="Default"/>
    <w:next w:val="900"/>
    <w:link w:val="872"/>
    <w:rPr>
      <w:rFonts w:ascii="Arial" w:hAnsi="Arial" w:cs="Arial"/>
      <w:color w:val="000000"/>
      <w:sz w:val="24"/>
      <w:szCs w:val="24"/>
      <w:lang w:val="ru-RU" w:eastAsia="ru-RU" w:bidi="ar-SA"/>
    </w:rPr>
  </w:style>
  <w:style w:type="character" w:styleId="901">
    <w:name w:val="Гипертекстовая ссылка"/>
    <w:next w:val="901"/>
    <w:link w:val="872"/>
    <w:uiPriority w:val="99"/>
    <w:rPr>
      <w:color w:val="106bbe"/>
    </w:rPr>
  </w:style>
  <w:style w:type="table" w:styleId="902">
    <w:name w:val="Сетка таблицы"/>
    <w:basedOn w:val="879"/>
    <w:next w:val="902"/>
    <w:link w:val="872"/>
    <w:tblPr/>
  </w:style>
  <w:style w:type="character" w:styleId="903">
    <w:name w:val="selector_content"/>
    <w:next w:val="903"/>
    <w:link w:val="872"/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Комитет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ЗЕМЕЛЬНЫМ РЕСУРСАМ И ЗЕМЕЛЕУСТРОЙСТВУ</dc:title>
  <dc:creator>Болгова</dc:creator>
  <cp:revision>36</cp:revision>
  <dcterms:created xsi:type="dcterms:W3CDTF">2022-09-28T08:14:00Z</dcterms:created>
  <dcterms:modified xsi:type="dcterms:W3CDTF">2023-10-02T06:35:10Z</dcterms:modified>
  <cp:version>786432</cp:version>
</cp:coreProperties>
</file>