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/>
    </w:p>
    <w:p>
      <w:pPr>
        <w:ind w:right="-2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проекту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постановления администрации района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</w:t>
      </w:r>
      <w:bookmarkStart w:id="0" w:name="_Hlk83897222"/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 утверждении Программы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территории городского округа,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 том числе требований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 обеспечению доступности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для инвалидов объектов социальной, инженерной и транспортной инфраструктур и предоставляемых услуг на территории Железнодорожного района города Барнаула на 202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»</w:t>
      </w:r>
      <w:bookmarkEnd w:id="0"/>
      <w:r/>
      <w:r/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роект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постановления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администрации района «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Об утверждении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Программы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 городского округа,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том числе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обеспечению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инвалидов объектов социальной, инженерной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транспортной инфраструктур и предоставляемых услуг на территории </w:t>
      </w:r>
      <w:r>
        <w:rPr>
          <w:rFonts w:ascii="Times New Roman" w:hAnsi="Times New Roman"/>
          <w:sz w:val="28"/>
          <w:szCs w:val="28"/>
        </w:rPr>
        <w:t xml:space="preserve">Железнодорожного района города Барнаула на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проект постановления</w:t>
      </w:r>
      <w:r>
        <w:rPr>
          <w:rFonts w:ascii="Times New Roman" w:hAnsi="Times New Roman"/>
          <w:sz w:val="28"/>
          <w:szCs w:val="28"/>
        </w:rPr>
        <w:t xml:space="preserve">) подготовлен в соответствии с Федеральным законом</w:t>
      </w:r>
      <w:r>
        <w:rPr>
          <w:rFonts w:ascii="Times New Roman" w:hAnsi="Times New Roman"/>
          <w:sz w:val="28"/>
          <w:szCs w:val="28"/>
        </w:rPr>
        <w:t xml:space="preserve"> от 31.07.2020 №248-ФЗ «О государственном контроле (надзоре)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муниципальном контроле в Российской Федерации», постановлением Правительства Российской Федерации от 25.06.2021 №990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tabs>
          <w:tab w:val="left" w:pos="325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 распространяет действие на профилактические мероприятия, проводимые </w:t>
      </w:r>
      <w:r>
        <w:rPr>
          <w:rFonts w:ascii="Times New Roman" w:hAnsi="Times New Roman"/>
          <w:sz w:val="28"/>
          <w:szCs w:val="28"/>
        </w:rPr>
        <w:t xml:space="preserve">администрацией Железнодорожного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</w:t>
      </w:r>
      <w:r>
        <w:rPr>
          <w:rFonts w:ascii="Times New Roman" w:hAnsi="Times New Roman"/>
          <w:sz w:val="28"/>
          <w:szCs w:val="28"/>
        </w:rPr>
        <w:t xml:space="preserve"> города Барнаула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году в ходе осуществления </w:t>
      </w:r>
      <w:r>
        <w:rPr>
          <w:rFonts w:ascii="Times New Roman" w:hAnsi="Times New Roman"/>
          <w:sz w:val="28"/>
          <w:szCs w:val="28"/>
        </w:rPr>
        <w:t xml:space="preserve">муниципального контроля </w:t>
      </w:r>
      <w:r>
        <w:rPr>
          <w:rFonts w:ascii="Times New Roman" w:hAnsi="Times New Roman"/>
          <w:sz w:val="28"/>
          <w:szCs w:val="28"/>
        </w:rPr>
        <w:t xml:space="preserve">в сфере благоустройства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, предметом которого является соблюдение правил благоустройства территории городского округа, в том числе требований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к обеспечению доступности для инвалидов объектов социальной, инженерной и транспортной инфраструктур и предоставляемых услуг на </w:t>
      </w:r>
      <w:r>
        <w:rPr>
          <w:rFonts w:ascii="Times New Roman" w:hAnsi="Times New Roman"/>
          <w:sz w:val="28"/>
          <w:szCs w:val="28"/>
        </w:rPr>
        <w:t xml:space="preserve">территории городского округа – города Барнаула Алтайского края.</w:t>
      </w:r>
      <w:r/>
    </w:p>
    <w:p>
      <w:pPr>
        <w:ind w:firstLine="709"/>
        <w:jc w:val="both"/>
        <w:spacing w:after="0" w:line="240" w:lineRule="auto"/>
        <w:tabs>
          <w:tab w:val="left" w:pos="325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  <w:r/>
    </w:p>
    <w:p>
      <w:pPr>
        <w:ind w:firstLine="709"/>
        <w:jc w:val="both"/>
        <w:spacing w:after="0" w:line="240" w:lineRule="auto"/>
        <w:tabs>
          <w:tab w:val="left" w:pos="325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/>
          <w:sz w:val="28"/>
          <w:szCs w:val="28"/>
        </w:rPr>
        <w:t xml:space="preserve">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с </w:t>
      </w:r>
      <w:r>
        <w:rPr>
          <w:rFonts w:ascii="Times New Roman" w:hAnsi="Times New Roman"/>
          <w:sz w:val="28"/>
          <w:szCs w:val="28"/>
        </w:rPr>
        <w:t xml:space="preserve">01.10.202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01</w:t>
      </w:r>
      <w:r>
        <w:rPr>
          <w:rFonts w:ascii="Times New Roman" w:hAnsi="Times New Roman"/>
          <w:sz w:val="28"/>
          <w:szCs w:val="28"/>
        </w:rPr>
        <w:t xml:space="preserve">.11.202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tabs>
          <w:tab w:val="left" w:pos="325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</w:t>
      </w:r>
      <w:r>
        <w:rPr>
          <w:rFonts w:ascii="Times New Roman" w:hAnsi="Times New Roman"/>
          <w:sz w:val="28"/>
          <w:szCs w:val="28"/>
        </w:rPr>
        <w:t xml:space="preserve">городской Думы от 27.04.2018 №116 «Об утверждении Положения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 общественном обсуждении проектов муниципальных правовых актов города Барнаула».</w:t>
      </w:r>
      <w:r/>
    </w:p>
    <w:p>
      <w:pPr>
        <w:ind w:firstLine="709"/>
        <w:jc w:val="both"/>
        <w:spacing w:after="0" w:line="240" w:lineRule="auto"/>
        <w:tabs>
          <w:tab w:val="left" w:pos="325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</w:t>
      </w:r>
      <w:r>
        <w:rPr>
          <w:rFonts w:ascii="Times New Roman" w:hAnsi="Times New Roman"/>
          <w:sz w:val="28"/>
          <w:szCs w:val="28"/>
        </w:rPr>
        <w:t xml:space="preserve">принимаются </w:t>
      </w:r>
      <w:r>
        <w:rPr>
          <w:rFonts w:ascii="Times New Roman" w:hAnsi="Times New Roman"/>
          <w:sz w:val="28"/>
          <w:szCs w:val="28"/>
        </w:rPr>
        <w:t xml:space="preserve">администрацией Железнодорожного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Барнаула</w:t>
      </w:r>
      <w:r>
        <w:rPr>
          <w:rFonts w:ascii="Times New Roman" w:hAnsi="Times New Roman"/>
          <w:sz w:val="28"/>
          <w:szCs w:val="28"/>
        </w:rPr>
        <w:t xml:space="preserve"> по почте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бумажном носителе и по электронной почте в форме электронного документа в течение срока общественного обсуждения.</w:t>
      </w:r>
      <w:r/>
    </w:p>
    <w:p>
      <w:pPr>
        <w:ind w:firstLine="709"/>
        <w:jc w:val="both"/>
        <w:spacing w:after="0" w:line="240" w:lineRule="auto"/>
        <w:tabs>
          <w:tab w:val="left" w:pos="325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  <w:r/>
    </w:p>
    <w:p>
      <w:pPr>
        <w:ind w:firstLine="709"/>
        <w:jc w:val="both"/>
        <w:spacing w:after="0" w:line="240" w:lineRule="auto"/>
        <w:tabs>
          <w:tab w:val="left" w:pos="325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>
        <w:rPr>
          <w:rFonts w:ascii="Times New Roman" w:hAnsi="Times New Roman"/>
          <w:sz w:val="28"/>
          <w:szCs w:val="28"/>
        </w:rPr>
        <w:t xml:space="preserve">иной экономической </w:t>
      </w:r>
      <w:r>
        <w:rPr>
          <w:rFonts w:ascii="Times New Roman" w:hAnsi="Times New Roman"/>
          <w:sz w:val="28"/>
          <w:szCs w:val="28"/>
        </w:rPr>
        <w:t xml:space="preserve">деятельности.</w:t>
      </w:r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5"/>
        <w:ind w:left="0" w:right="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0"/>
        </w:rPr>
        <w:t xml:space="preserve">Первый заместитель 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895"/>
        <w:ind w:left="0" w:right="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0"/>
        </w:rPr>
        <w:t xml:space="preserve">главы </w:t>
      </w:r>
      <w:r>
        <w:rPr>
          <w:rFonts w:ascii="Times New Roman" w:hAnsi="Times New Roman" w:eastAsia="Times New Roman"/>
          <w:sz w:val="28"/>
          <w:szCs w:val="20"/>
        </w:rPr>
        <w:t xml:space="preserve">администрации </w:t>
      </w:r>
      <w:r>
        <w:rPr>
          <w:rFonts w:ascii="Times New Roman" w:hAnsi="Times New Roman" w:eastAsia="Times New Roman"/>
          <w:sz w:val="28"/>
          <w:szCs w:val="20"/>
        </w:rPr>
        <w:t xml:space="preserve">района      </w:t>
      </w:r>
      <w:r>
        <w:rPr>
          <w:rFonts w:ascii="Times New Roman" w:hAnsi="Times New Roman" w:eastAsia="Times New Roman"/>
          <w:sz w:val="28"/>
          <w:szCs w:val="20"/>
        </w:rPr>
        <w:t xml:space="preserve">                                                  </w:t>
      </w:r>
      <w:r>
        <w:rPr>
          <w:rFonts w:ascii="Times New Roman" w:hAnsi="Times New Roman" w:eastAsia="Times New Roman"/>
          <w:sz w:val="28"/>
          <w:szCs w:val="20"/>
        </w:rPr>
        <w:t xml:space="preserve">Л.В. Ночевной</w:t>
      </w:r>
      <w:r>
        <w:rPr>
          <w:rFonts w:ascii="Times New Roman" w:hAnsi="Times New Roman" w:eastAsia="Times New Roman"/>
          <w:sz w:val="28"/>
          <w:szCs w:val="28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709" w:bottom="1134" w:left="1985" w:header="284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64285176"/>
      <w:docPartObj>
        <w:docPartGallery w:val="Page Numbers (Top of Page)"/>
        <w:docPartUnique w:val="true"/>
      </w:docPartObj>
      <w:rPr>
        <w:rFonts w:ascii="Times New Roman" w:hAnsi="Times New Roman"/>
        <w:sz w:val="28"/>
        <w:szCs w:val="28"/>
      </w:rPr>
    </w:sdtPr>
    <w:sdtContent>
      <w:p>
        <w:pPr>
          <w:pStyle w:val="888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</w:r>
        <w:r/>
      </w:p>
      <w:p>
        <w:pPr>
          <w:pStyle w:val="888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2</w:t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1"/>
      <w:gridCol w:w="3069"/>
    </w:tblGrid>
    <w:tr>
      <w:trPr>
        <w:trHeight w:val="720"/>
      </w:trPr>
      <w:tc>
        <w:tcPr>
          <w:tcW w:w="1667" w:type="pct"/>
          <w:textDirection w:val="lrTb"/>
          <w:noWrap w:val="false"/>
        </w:tcPr>
        <w:p>
          <w:pPr>
            <w:pStyle w:val="888"/>
            <w:tabs>
              <w:tab w:val="clear" w:pos="4677" w:leader="none"/>
              <w:tab w:val="clear" w:pos="9355" w:leader="none"/>
            </w:tabs>
            <w:rPr>
              <w:color w:val="5b9bd5" w:themeColor="accent1"/>
            </w:rPr>
          </w:pPr>
          <w:r>
            <w:rPr>
              <w:color w:val="5b9bd5" w:themeColor="accent1"/>
            </w:rPr>
          </w:r>
          <w:r/>
        </w:p>
      </w:tc>
      <w:tc>
        <w:tcPr>
          <w:tcW w:w="1667" w:type="pct"/>
          <w:textDirection w:val="lrTb"/>
          <w:noWrap w:val="false"/>
        </w:tcPr>
        <w:p>
          <w:pPr>
            <w:pStyle w:val="888"/>
            <w:jc w:val="center"/>
            <w:tabs>
              <w:tab w:val="clear" w:pos="4677" w:leader="none"/>
              <w:tab w:val="clear" w:pos="9355" w:leader="none"/>
            </w:tabs>
            <w:rPr>
              <w:color w:val="5b9bd5" w:themeColor="accent1"/>
            </w:rPr>
          </w:pPr>
          <w:r>
            <w:rPr>
              <w:color w:val="5b9bd5" w:themeColor="accent1"/>
            </w:rPr>
          </w:r>
          <w:r/>
        </w:p>
      </w:tc>
      <w:tc>
        <w:tcPr>
          <w:tcW w:w="1666" w:type="pct"/>
          <w:textDirection w:val="lrTb"/>
          <w:noWrap w:val="false"/>
        </w:tcPr>
        <w:p>
          <w:pPr>
            <w:pStyle w:val="888"/>
            <w:jc w:val="right"/>
            <w:tabs>
              <w:tab w:val="clear" w:pos="4677" w:leader="none"/>
              <w:tab w:val="clear" w:pos="9355" w:leader="none"/>
            </w:tabs>
            <w:rPr>
              <w:color w:val="5b9bd5" w:themeColor="accent1"/>
              <w:sz w:val="24"/>
              <w:szCs w:val="24"/>
            </w:rPr>
          </w:pPr>
          <w:r>
            <w:rPr>
              <w:color w:val="5b9bd5" w:themeColor="accent1"/>
              <w:sz w:val="24"/>
              <w:szCs w:val="24"/>
            </w:rPr>
          </w:r>
          <w:r/>
        </w:p>
        <w:p>
          <w:pPr>
            <w:pStyle w:val="888"/>
            <w:jc w:val="right"/>
            <w:tabs>
              <w:tab w:val="clear" w:pos="4677" w:leader="none"/>
              <w:tab w:val="clear" w:pos="9355" w:leader="none"/>
            </w:tabs>
            <w:rPr>
              <w:color w:val="5b9bd5" w:themeColor="accent1"/>
            </w:rPr>
          </w:pPr>
          <w:r>
            <w:rPr>
              <w:color w:val="5b9bd5" w:themeColor="accent1"/>
            </w:rPr>
          </w:r>
          <w:r/>
        </w:p>
      </w:tc>
    </w:tr>
  </w:tbl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"/>
      <w:lvlJc w:val="left"/>
      <w:pPr>
        <w:ind w:left="-334" w:hanging="375"/>
      </w:pPr>
    </w:lvl>
    <w:lvl w:ilvl="2">
      <w:start w:val="1"/>
      <w:numFmt w:val="decimal"/>
      <w:isLgl/>
      <w:suff w:val="tab"/>
      <w:lvlText w:val="%1.%2.%3"/>
      <w:lvlJc w:val="left"/>
      <w:pPr>
        <w:ind w:left="11" w:hanging="720"/>
      </w:pPr>
    </w:lvl>
    <w:lvl w:ilvl="3">
      <w:start w:val="1"/>
      <w:numFmt w:val="decimal"/>
      <w:isLgl/>
      <w:suff w:val="tab"/>
      <w:lvlText w:val="%1.%2.%3.%4"/>
      <w:lvlJc w:val="left"/>
      <w:pPr>
        <w:ind w:left="371" w:hanging="1080"/>
      </w:pPr>
    </w:lvl>
    <w:lvl w:ilvl="4">
      <w:start w:val="1"/>
      <w:numFmt w:val="decimal"/>
      <w:isLgl/>
      <w:suff w:val="tab"/>
      <w:lvlText w:val="%1.%2.%3.%4.%5"/>
      <w:lvlJc w:val="left"/>
      <w:pPr>
        <w:ind w:left="371" w:hanging="1080"/>
      </w:pPr>
    </w:lvl>
    <w:lvl w:ilvl="5">
      <w:start w:val="1"/>
      <w:numFmt w:val="decimal"/>
      <w:isLgl/>
      <w:suff w:val="tab"/>
      <w:lvlText w:val="%1.%2.%3.%4.%5.%6"/>
      <w:lvlJc w:val="left"/>
      <w:pPr>
        <w:ind w:left="731" w:hanging="1440"/>
      </w:pPr>
    </w:lvl>
    <w:lvl w:ilvl="6">
      <w:start w:val="1"/>
      <w:numFmt w:val="decimal"/>
      <w:isLgl/>
      <w:suff w:val="tab"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suff w:val="tab"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suff w:val="tab"/>
      <w:lvlText w:val="%1.%2.%3.%4.%5.%6.%7.%8.%9"/>
      <w:lvlJc w:val="left"/>
      <w:pPr>
        <w:ind w:left="1451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1"/>
    <w:link w:val="880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79"/>
    <w:next w:val="879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basedOn w:val="881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basedOn w:val="881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basedOn w:val="881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81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81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81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79"/>
    <w:next w:val="879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8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79"/>
    <w:next w:val="879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81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Title"/>
    <w:basedOn w:val="879"/>
    <w:next w:val="879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basedOn w:val="881"/>
    <w:link w:val="723"/>
    <w:uiPriority w:val="10"/>
    <w:rPr>
      <w:sz w:val="48"/>
      <w:szCs w:val="48"/>
    </w:rPr>
  </w:style>
  <w:style w:type="paragraph" w:styleId="725">
    <w:name w:val="Subtitle"/>
    <w:basedOn w:val="879"/>
    <w:next w:val="879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81"/>
    <w:link w:val="725"/>
    <w:uiPriority w:val="11"/>
    <w:rPr>
      <w:sz w:val="24"/>
      <w:szCs w:val="24"/>
    </w:rPr>
  </w:style>
  <w:style w:type="paragraph" w:styleId="727">
    <w:name w:val="Quote"/>
    <w:basedOn w:val="879"/>
    <w:next w:val="879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79"/>
    <w:next w:val="879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character" w:styleId="731">
    <w:name w:val="Header Char"/>
    <w:basedOn w:val="881"/>
    <w:link w:val="888"/>
    <w:uiPriority w:val="99"/>
  </w:style>
  <w:style w:type="character" w:styleId="732">
    <w:name w:val="Footer Char"/>
    <w:basedOn w:val="881"/>
    <w:link w:val="890"/>
    <w:uiPriority w:val="99"/>
  </w:style>
  <w:style w:type="paragraph" w:styleId="733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890"/>
    <w:uiPriority w:val="99"/>
  </w:style>
  <w:style w:type="table" w:styleId="735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5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9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0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1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1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paragraph" w:styleId="880">
    <w:name w:val="Heading 1"/>
    <w:basedOn w:val="879"/>
    <w:next w:val="879"/>
    <w:link w:val="892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paragraph" w:styleId="884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85" w:customStyle="1">
    <w:name w:val="Стиль4"/>
    <w:basedOn w:val="879"/>
    <w:pPr>
      <w:ind w:firstLine="851"/>
      <w:jc w:val="both"/>
      <w:spacing w:after="0" w:line="240" w:lineRule="auto"/>
    </w:pPr>
    <w:rPr>
      <w:rFonts w:ascii="Courier New" w:hAnsi="Courier New" w:eastAsia="Times New Roman"/>
      <w:sz w:val="28"/>
      <w:szCs w:val="20"/>
      <w:lang w:eastAsia="ru-RU"/>
    </w:rPr>
  </w:style>
  <w:style w:type="paragraph" w:styleId="886" w:customStyle="1">
    <w:name w:val="Стиль2"/>
    <w:basedOn w:val="879"/>
    <w:pPr>
      <w:spacing w:after="0" w:line="240" w:lineRule="auto"/>
      <w:framePr w:w="4125" w:h="797" w:hSpace="180" w:wrap="around" w:vAnchor="text" w:hAnchor="page" w:x="1275" w:y="223"/>
    </w:pPr>
    <w:rPr>
      <w:rFonts w:ascii="Courier New" w:hAnsi="Courier New" w:eastAsia="Times New Roman"/>
      <w:sz w:val="28"/>
      <w:szCs w:val="20"/>
      <w:lang w:eastAsia="ru-RU"/>
    </w:rPr>
  </w:style>
  <w:style w:type="character" w:styleId="887" w:customStyle="1">
    <w:name w:val="Гипертекстовая ссылка"/>
    <w:uiPriority w:val="99"/>
    <w:rPr>
      <w:rFonts w:hint="default" w:ascii="Times New Roman" w:hAnsi="Times New Roman" w:cs="Times New Roman"/>
      <w:b w:val="0"/>
      <w:bCs w:val="0"/>
      <w:color w:val="106bbe"/>
    </w:rPr>
  </w:style>
  <w:style w:type="paragraph" w:styleId="888">
    <w:name w:val="Header"/>
    <w:basedOn w:val="879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881"/>
    <w:link w:val="888"/>
    <w:uiPriority w:val="99"/>
    <w:rPr>
      <w:rFonts w:ascii="Calibri" w:hAnsi="Calibri" w:eastAsia="Calibri" w:cs="Times New Roman"/>
    </w:rPr>
  </w:style>
  <w:style w:type="paragraph" w:styleId="890">
    <w:name w:val="Footer"/>
    <w:basedOn w:val="879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881"/>
    <w:link w:val="890"/>
    <w:uiPriority w:val="99"/>
    <w:rPr>
      <w:rFonts w:ascii="Calibri" w:hAnsi="Calibri" w:eastAsia="Calibri" w:cs="Times New Roman"/>
    </w:rPr>
  </w:style>
  <w:style w:type="character" w:styleId="892" w:customStyle="1">
    <w:name w:val="Заголовок 1 Знак"/>
    <w:basedOn w:val="881"/>
    <w:link w:val="88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93">
    <w:name w:val="Balloon Text"/>
    <w:basedOn w:val="879"/>
    <w:link w:val="894"/>
    <w:uiPriority w:val="99"/>
    <w:semiHidden/>
    <w:unhideWhenUsed/>
    <w:pPr>
      <w:spacing w:after="0" w:line="240" w:lineRule="auto"/>
    </w:pPr>
    <w:rPr>
      <w:rFonts w:ascii="Calibri Light" w:hAnsi="Calibri Light"/>
      <w:sz w:val="18"/>
      <w:szCs w:val="18"/>
    </w:rPr>
  </w:style>
  <w:style w:type="character" w:styleId="894" w:customStyle="1">
    <w:name w:val="Текст выноски Знак"/>
    <w:basedOn w:val="881"/>
    <w:link w:val="893"/>
    <w:uiPriority w:val="99"/>
    <w:semiHidden/>
    <w:rPr>
      <w:rFonts w:ascii="Calibri Light" w:hAnsi="Calibri Light" w:eastAsia="Calibri" w:cs="Times New Roman"/>
      <w:sz w:val="18"/>
      <w:szCs w:val="18"/>
    </w:rPr>
  </w:style>
  <w:style w:type="paragraph" w:styleId="895">
    <w:name w:val="List Paragraph"/>
    <w:basedOn w:val="879"/>
    <w:uiPriority w:val="34"/>
    <w:qFormat/>
    <w:pPr>
      <w:contextualSpacing/>
      <w:ind w:left="720"/>
    </w:pPr>
  </w:style>
  <w:style w:type="paragraph" w:styleId="896" w:customStyle="1">
    <w:name w:val="ConsPlusCel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7" w:customStyle="1">
    <w:name w:val="headertext"/>
    <w:basedOn w:val="87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8" w:customStyle="1">
    <w:name w:val="Прижатый влево"/>
    <w:basedOn w:val="879"/>
    <w:next w:val="879"/>
    <w:uiPriority w:val="99"/>
    <w:pPr>
      <w:spacing w:after="0" w:line="240" w:lineRule="auto"/>
    </w:pPr>
    <w:rPr>
      <w:rFonts w:ascii="Arial" w:hAnsi="Arial" w:cs="Arial" w:eastAsiaTheme="minorHAns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CC014-D449-412E-B2D3-D70D9D4E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revision>18</cp:revision>
  <dcterms:created xsi:type="dcterms:W3CDTF">2022-09-28T08:13:00Z</dcterms:created>
  <dcterms:modified xsi:type="dcterms:W3CDTF">2023-10-02T04:45:44Z</dcterms:modified>
</cp:coreProperties>
</file>